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45" w:rsidRPr="000A2F0B" w:rsidRDefault="00D77945" w:rsidP="00C3391B">
      <w:pPr>
        <w:jc w:val="center"/>
        <w:rPr>
          <w:b/>
          <w:sz w:val="24"/>
          <w:u w:val="single"/>
        </w:rPr>
      </w:pPr>
      <w:r w:rsidRPr="000A2F0B">
        <w:rPr>
          <w:b/>
          <w:sz w:val="24"/>
          <w:u w:val="single"/>
        </w:rPr>
        <w:t>Технология упаковки оборудования на складе ЗАО «РАМЭК-ВС»</w:t>
      </w:r>
      <w:bookmarkStart w:id="0" w:name="_GoBack"/>
      <w:bookmarkEnd w:id="0"/>
      <w:r w:rsidRPr="000A2F0B">
        <w:rPr>
          <w:b/>
          <w:sz w:val="24"/>
          <w:u w:val="single"/>
        </w:rPr>
        <w:t xml:space="preserve"> и степени защиты от вскрытия.</w:t>
      </w:r>
    </w:p>
    <w:p w:rsidR="00D77945" w:rsidRDefault="00D77945" w:rsidP="002D4FB2">
      <w:pPr>
        <w:pStyle w:val="ListParagraph"/>
        <w:numPr>
          <w:ilvl w:val="0"/>
          <w:numId w:val="1"/>
        </w:numPr>
      </w:pPr>
      <w:r>
        <w:t xml:space="preserve">Фирменный скотч с логотипом ЗАО «РАМЭК-ВС». </w:t>
      </w:r>
    </w:p>
    <w:p w:rsidR="00D77945" w:rsidRDefault="00D77945" w:rsidP="000F5A60">
      <w:pPr>
        <w:pStyle w:val="ListParagraph"/>
        <w:numPr>
          <w:ilvl w:val="0"/>
          <w:numId w:val="1"/>
        </w:numPr>
      </w:pPr>
      <w:r>
        <w:t>Полипропиленовая стрепп- лента с логотипом ЗАО «РАМЭК-ВС», места стыков запаяны технологическим методом с помощью упаковочной машины, что предотвращает случайный разрыв ленты.</w:t>
      </w:r>
    </w:p>
    <w:p w:rsidR="00D77945" w:rsidRDefault="00D77945" w:rsidP="00235FB2">
      <w:pPr>
        <w:pStyle w:val="ListParagraph"/>
        <w:numPr>
          <w:ilvl w:val="0"/>
          <w:numId w:val="1"/>
        </w:numPr>
      </w:pPr>
      <w:r>
        <w:t xml:space="preserve">Самоклеющаяся стикер- пломба, которая при вскрытии оставляет след с надписью </w:t>
      </w:r>
      <w:r w:rsidRPr="00235FB2">
        <w:rPr>
          <w:b/>
        </w:rPr>
        <w:t xml:space="preserve">«вскрыто» </w:t>
      </w:r>
      <w:r>
        <w:t xml:space="preserve">или </w:t>
      </w:r>
      <w:r w:rsidRPr="00235FB2">
        <w:rPr>
          <w:b/>
        </w:rPr>
        <w:t>«</w:t>
      </w:r>
      <w:r w:rsidRPr="00235FB2">
        <w:rPr>
          <w:b/>
          <w:lang w:val="en-US"/>
        </w:rPr>
        <w:t>open</w:t>
      </w:r>
      <w:r w:rsidRPr="00235FB2">
        <w:rPr>
          <w:b/>
        </w:rPr>
        <w:t>»</w:t>
      </w:r>
      <w:r>
        <w:t xml:space="preserve">.  </w:t>
      </w:r>
    </w:p>
    <w:p w:rsidR="00D77945" w:rsidRDefault="00D77945" w:rsidP="00235FB2">
      <w:pPr>
        <w:pStyle w:val="ListParagraph"/>
        <w:numPr>
          <w:ilvl w:val="0"/>
          <w:numId w:val="1"/>
        </w:numPr>
      </w:pPr>
    </w:p>
    <w:p w:rsidR="00D77945" w:rsidRPr="002D4FB2" w:rsidRDefault="00D77945" w:rsidP="00235FB2">
      <w:pPr>
        <w:pStyle w:val="ListParagraph"/>
        <w:rPr>
          <w:b/>
        </w:rPr>
      </w:pPr>
      <w:r>
        <w:rPr>
          <w:b/>
        </w:rPr>
        <w:t>Пломба без нарушений</w:t>
      </w:r>
      <w:r w:rsidRPr="002D4FB2">
        <w:rPr>
          <w:b/>
        </w:rPr>
        <w:t xml:space="preserve"> (тип 1)</w:t>
      </w:r>
    </w:p>
    <w:p w:rsidR="00D77945" w:rsidRDefault="00D77945" w:rsidP="00235FB2">
      <w:pPr>
        <w:pStyle w:val="ListParagraph"/>
        <w:ind w:left="0"/>
      </w:pPr>
      <w:r w:rsidRPr="00AA4D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style="width:524.25pt;height:88.5pt;visibility:visible">
            <v:imagedata r:id="rId7" o:title=""/>
          </v:shape>
        </w:pict>
      </w:r>
    </w:p>
    <w:p w:rsidR="00D77945" w:rsidRDefault="00D77945" w:rsidP="00235FB2">
      <w:pPr>
        <w:pStyle w:val="ListParagraph"/>
        <w:ind w:left="0"/>
      </w:pPr>
      <w:r w:rsidRPr="00AA4DF0">
        <w:rPr>
          <w:noProof/>
        </w:rPr>
        <w:pict>
          <v:shape id="Рисунок 9" o:spid="_x0000_i1026" type="#_x0000_t75" style="width:523.5pt;height:137.25pt;visibility:visible">
            <v:imagedata r:id="rId8" o:title=""/>
          </v:shape>
        </w:pict>
      </w:r>
    </w:p>
    <w:p w:rsidR="00D77945" w:rsidRPr="002D4FB2" w:rsidRDefault="00D77945" w:rsidP="000F5A60">
      <w:pPr>
        <w:tabs>
          <w:tab w:val="left" w:pos="3075"/>
        </w:tabs>
        <w:jc w:val="both"/>
        <w:rPr>
          <w:b/>
        </w:rPr>
      </w:pPr>
      <w:r w:rsidRPr="002D4FB2">
        <w:rPr>
          <w:b/>
        </w:rPr>
        <w:t xml:space="preserve">              вскрытая пломба (тип 1)</w:t>
      </w:r>
    </w:p>
    <w:p w:rsidR="00D77945" w:rsidRDefault="00D77945" w:rsidP="000F5A60">
      <w:pPr>
        <w:tabs>
          <w:tab w:val="left" w:pos="3075"/>
        </w:tabs>
        <w:jc w:val="both"/>
      </w:pPr>
      <w:r w:rsidRPr="00AA4DF0">
        <w:rPr>
          <w:noProof/>
        </w:rPr>
        <w:pict>
          <v:shape id="Рисунок 10" o:spid="_x0000_i1027" type="#_x0000_t75" style="width:524.25pt;height:98.25pt;visibility:visible">
            <v:imagedata r:id="rId9" o:title=""/>
          </v:shape>
        </w:pict>
      </w:r>
    </w:p>
    <w:p w:rsidR="00D77945" w:rsidRDefault="00D77945" w:rsidP="000F5A60">
      <w:pPr>
        <w:tabs>
          <w:tab w:val="left" w:pos="3075"/>
        </w:tabs>
        <w:jc w:val="both"/>
      </w:pPr>
      <w:r w:rsidRPr="00AA4DF0">
        <w:rPr>
          <w:noProof/>
        </w:rPr>
        <w:pict>
          <v:shape id="Рисунок 11" o:spid="_x0000_i1028" type="#_x0000_t75" style="width:524.25pt;height:153pt;visibility:visible">
            <v:imagedata r:id="rId10" o:title=""/>
          </v:shape>
        </w:pict>
      </w:r>
    </w:p>
    <w:p w:rsidR="00D77945" w:rsidRPr="002D4FB2" w:rsidRDefault="00D77945" w:rsidP="000F5A60">
      <w:pPr>
        <w:tabs>
          <w:tab w:val="left" w:pos="3075"/>
        </w:tabs>
        <w:jc w:val="both"/>
        <w:rPr>
          <w:b/>
        </w:rPr>
      </w:pPr>
    </w:p>
    <w:p w:rsidR="00D77945" w:rsidRPr="002D4FB2" w:rsidRDefault="00D77945" w:rsidP="00C3391B">
      <w:pPr>
        <w:tabs>
          <w:tab w:val="left" w:pos="3075"/>
        </w:tabs>
        <w:ind w:left="709"/>
        <w:jc w:val="both"/>
        <w:rPr>
          <w:b/>
        </w:rPr>
      </w:pPr>
      <w:r w:rsidRPr="002D4FB2">
        <w:rPr>
          <w:b/>
        </w:rPr>
        <w:t>пломба без нарушений (тип 2)</w:t>
      </w:r>
    </w:p>
    <w:p w:rsidR="00D77945" w:rsidRDefault="00D77945" w:rsidP="002D4FB2">
      <w:pPr>
        <w:tabs>
          <w:tab w:val="left" w:pos="3075"/>
        </w:tabs>
        <w:jc w:val="both"/>
      </w:pPr>
      <w:r w:rsidRPr="00AA4DF0">
        <w:rPr>
          <w:noProof/>
        </w:rPr>
        <w:pict>
          <v:shape id="Рисунок 12" o:spid="_x0000_i1029" type="#_x0000_t75" style="width:524.25pt;height:110.25pt;visibility:visible">
            <v:imagedata r:id="rId11" o:title=""/>
          </v:shape>
        </w:pict>
      </w:r>
    </w:p>
    <w:p w:rsidR="00D77945" w:rsidRDefault="00D77945" w:rsidP="002D4FB2">
      <w:pPr>
        <w:tabs>
          <w:tab w:val="left" w:pos="3075"/>
        </w:tabs>
        <w:ind w:left="709" w:hanging="709"/>
        <w:jc w:val="both"/>
      </w:pPr>
      <w:r w:rsidRPr="00AA4DF0">
        <w:rPr>
          <w:noProof/>
        </w:rPr>
        <w:pict>
          <v:shape id="Рисунок 13" o:spid="_x0000_i1030" type="#_x0000_t75" style="width:523.5pt;height:190.5pt;visibility:visible">
            <v:imagedata r:id="rId12" o:title=""/>
          </v:shape>
        </w:pict>
      </w:r>
    </w:p>
    <w:p w:rsidR="00D77945" w:rsidRPr="002D4FB2" w:rsidRDefault="00D77945" w:rsidP="000F5A60">
      <w:pPr>
        <w:tabs>
          <w:tab w:val="left" w:pos="3075"/>
        </w:tabs>
        <w:jc w:val="both"/>
        <w:rPr>
          <w:b/>
        </w:rPr>
      </w:pPr>
    </w:p>
    <w:p w:rsidR="00D77945" w:rsidRPr="002D4FB2" w:rsidRDefault="00D77945" w:rsidP="00C3391B">
      <w:pPr>
        <w:tabs>
          <w:tab w:val="left" w:pos="3075"/>
        </w:tabs>
        <w:ind w:firstLine="709"/>
        <w:jc w:val="both"/>
        <w:rPr>
          <w:b/>
        </w:rPr>
      </w:pPr>
      <w:r w:rsidRPr="002D4FB2">
        <w:rPr>
          <w:b/>
        </w:rPr>
        <w:t>вскрытая пломба (тип 2)</w:t>
      </w:r>
    </w:p>
    <w:p w:rsidR="00D77945" w:rsidRDefault="00D77945" w:rsidP="002D4FB2">
      <w:pPr>
        <w:tabs>
          <w:tab w:val="left" w:pos="3075"/>
        </w:tabs>
        <w:jc w:val="both"/>
      </w:pPr>
      <w:r w:rsidRPr="00AA4DF0">
        <w:rPr>
          <w:noProof/>
        </w:rPr>
        <w:pict>
          <v:shape id="Рисунок 14" o:spid="_x0000_i1031" type="#_x0000_t75" style="width:524.25pt;height:103.5pt;visibility:visible">
            <v:imagedata r:id="rId13" o:title=""/>
          </v:shape>
        </w:pict>
      </w:r>
    </w:p>
    <w:p w:rsidR="00D77945" w:rsidRDefault="00D77945" w:rsidP="002D4FB2">
      <w:pPr>
        <w:tabs>
          <w:tab w:val="left" w:pos="3075"/>
        </w:tabs>
        <w:jc w:val="both"/>
      </w:pPr>
      <w:r w:rsidRPr="00AA4DF0">
        <w:rPr>
          <w:noProof/>
        </w:rPr>
        <w:pict>
          <v:shape id="Рисунок 15" o:spid="_x0000_i1032" type="#_x0000_t75" style="width:524.25pt;height:182.25pt;visibility:visible">
            <v:imagedata r:id="rId14" o:title=""/>
          </v:shape>
        </w:pict>
      </w:r>
    </w:p>
    <w:p w:rsidR="00D77945" w:rsidRDefault="00D77945" w:rsidP="000F5A60">
      <w:pPr>
        <w:tabs>
          <w:tab w:val="left" w:pos="3075"/>
        </w:tabs>
        <w:jc w:val="both"/>
      </w:pPr>
    </w:p>
    <w:p w:rsidR="00D77945" w:rsidRDefault="00D77945" w:rsidP="000F5A60">
      <w:pPr>
        <w:tabs>
          <w:tab w:val="left" w:pos="3075"/>
        </w:tabs>
        <w:jc w:val="both"/>
      </w:pPr>
    </w:p>
    <w:p w:rsidR="00D77945" w:rsidRDefault="00D77945" w:rsidP="00AA2824">
      <w:pPr>
        <w:pStyle w:val="ConsPlusTitle"/>
        <w:widowControl/>
        <w:jc w:val="center"/>
      </w:pPr>
    </w:p>
    <w:p w:rsidR="00D77945" w:rsidRDefault="00D77945" w:rsidP="00333B04">
      <w:pPr>
        <w:pStyle w:val="ConsPlusTitle"/>
        <w:widowControl/>
        <w:rPr>
          <w:u w:val="single"/>
        </w:rPr>
      </w:pPr>
      <w:r w:rsidRPr="00333B04">
        <w:rPr>
          <w:u w:val="single"/>
        </w:rPr>
        <w:t xml:space="preserve">При получении товара в транспортной компании или с доставкой до двери рекомендуем руководствоваться Уставом автомобильного транспорта. </w:t>
      </w:r>
    </w:p>
    <w:p w:rsidR="00D77945" w:rsidRPr="00333B04" w:rsidRDefault="00D77945" w:rsidP="00333B04">
      <w:pPr>
        <w:pStyle w:val="ConsPlusTitle"/>
        <w:widowControl/>
        <w:rPr>
          <w:u w:val="single"/>
        </w:rPr>
      </w:pPr>
    </w:p>
    <w:p w:rsidR="00D77945" w:rsidRDefault="00D77945" w:rsidP="00325FC7">
      <w:pPr>
        <w:pStyle w:val="ConsPlusNormal"/>
        <w:widowControl/>
        <w:ind w:left="405" w:firstLine="0"/>
        <w:jc w:val="both"/>
        <w:outlineLvl w:val="1"/>
      </w:pPr>
      <w:r>
        <w:t>Ст.15. Выдача груза</w:t>
      </w:r>
    </w:p>
    <w:p w:rsidR="00D77945" w:rsidRDefault="00D77945" w:rsidP="00325FC7">
      <w:pPr>
        <w:pStyle w:val="ConsPlusNormal"/>
        <w:widowControl/>
        <w:ind w:left="405" w:firstLine="0"/>
        <w:jc w:val="both"/>
      </w:pPr>
    </w:p>
    <w:p w:rsidR="00D77945" w:rsidRDefault="00D77945" w:rsidP="00325FC7">
      <w:pPr>
        <w:pStyle w:val="ConsPlusNormal"/>
        <w:widowControl/>
        <w:ind w:left="405" w:firstLine="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D77945" w:rsidRDefault="00D77945" w:rsidP="00325FC7">
      <w:pPr>
        <w:pStyle w:val="ConsPlusNormal"/>
        <w:widowControl/>
        <w:ind w:left="405" w:firstLine="0"/>
        <w:jc w:val="both"/>
      </w:pPr>
      <w:r>
        <w:t>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частью 7 статьи 34 настоящего Федерального закона.</w:t>
      </w:r>
    </w:p>
    <w:p w:rsidR="00D77945" w:rsidRDefault="00D77945" w:rsidP="00325FC7">
      <w:pPr>
        <w:pStyle w:val="ConsPlusNormal"/>
        <w:widowControl/>
        <w:ind w:left="405" w:firstLine="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D77945" w:rsidRDefault="00D77945" w:rsidP="00325FC7">
      <w:pPr>
        <w:pStyle w:val="ConsPlusNormal"/>
        <w:widowControl/>
        <w:ind w:left="405" w:firstLine="0"/>
        <w:jc w:val="both"/>
      </w:pPr>
      <w:r>
        <w:t>4. Переадресовка груза осуществляется в порядке, установленном правилами перевозок грузов.</w:t>
      </w:r>
    </w:p>
    <w:p w:rsidR="00D77945" w:rsidRDefault="00D77945" w:rsidP="00325FC7">
      <w:pPr>
        <w:pStyle w:val="ConsPlusNormal"/>
        <w:widowControl/>
        <w:ind w:left="405" w:firstLine="0"/>
        <w:jc w:val="both"/>
      </w:pPr>
      <w:r>
        <w:t>5. Расходы на перевозку груза при его возврате или переадресовке возмещаются за счет грузоотправителя.</w:t>
      </w:r>
    </w:p>
    <w:p w:rsidR="00D77945" w:rsidRDefault="00D77945" w:rsidP="00325FC7">
      <w:pPr>
        <w:pStyle w:val="ConsPlusNormal"/>
        <w:widowControl/>
        <w:ind w:left="405" w:firstLine="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D77945" w:rsidRDefault="00D77945" w:rsidP="00325FC7">
      <w:pPr>
        <w:pStyle w:val="ConsPlusNormal"/>
        <w:widowControl/>
        <w:ind w:left="405" w:firstLine="0"/>
        <w:jc w:val="both"/>
      </w:pPr>
      <w:r>
        <w:t>1) грузополучателю, указанному в транспортной накладной, в случае оплаты им стоимости груза;</w:t>
      </w:r>
    </w:p>
    <w:p w:rsidR="00D77945" w:rsidRDefault="00D77945" w:rsidP="00325FC7">
      <w:pPr>
        <w:pStyle w:val="ConsPlusNormal"/>
        <w:widowControl/>
        <w:ind w:left="405" w:firstLine="0"/>
        <w:jc w:val="both"/>
      </w:pPr>
      <w:r>
        <w:t>2) грузоотправителю во всех остальных случаях.</w:t>
      </w:r>
    </w:p>
    <w:p w:rsidR="00D77945" w:rsidRDefault="00D77945" w:rsidP="00325FC7">
      <w:pPr>
        <w:pStyle w:val="ConsPlusNormal"/>
        <w:widowControl/>
        <w:ind w:left="405" w:firstLine="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D77945" w:rsidRDefault="00D77945" w:rsidP="00325FC7">
      <w:pPr>
        <w:pStyle w:val="ConsPlusNormal"/>
        <w:widowControl/>
        <w:ind w:left="405" w:firstLine="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D77945" w:rsidRDefault="00D77945" w:rsidP="00325FC7">
      <w:pPr>
        <w:pStyle w:val="ConsPlusNormal"/>
        <w:widowControl/>
        <w:ind w:left="405" w:firstLine="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D77945" w:rsidRDefault="00D77945" w:rsidP="00325FC7">
      <w:pPr>
        <w:pStyle w:val="ConsPlusNormal"/>
        <w:widowControl/>
        <w:ind w:left="405" w:firstLine="0"/>
        <w:jc w:val="both"/>
      </w:pPr>
      <w:r>
        <w:t>1) доставка груза в крытом транспортном средстве, контейнере, принятом для перевозки без пломб;</w:t>
      </w:r>
    </w:p>
    <w:p w:rsidR="00D77945" w:rsidRDefault="00D77945" w:rsidP="00325FC7">
      <w:pPr>
        <w:pStyle w:val="ConsPlusNormal"/>
        <w:widowControl/>
        <w:ind w:left="405" w:firstLine="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D77945" w:rsidRDefault="00D77945" w:rsidP="00325FC7">
      <w:pPr>
        <w:pStyle w:val="ConsPlusNormal"/>
        <w:widowControl/>
        <w:ind w:left="405" w:firstLine="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D77945" w:rsidRDefault="00D77945" w:rsidP="00325FC7">
      <w:pPr>
        <w:pStyle w:val="ConsPlusNormal"/>
        <w:widowControl/>
        <w:ind w:left="405" w:firstLine="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D77945" w:rsidRDefault="00D77945" w:rsidP="00325FC7">
      <w:pPr>
        <w:pStyle w:val="ConsPlusNormal"/>
        <w:widowControl/>
        <w:ind w:left="405" w:firstLine="0"/>
        <w:jc w:val="both"/>
      </w:pPr>
      <w: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D77945" w:rsidRDefault="00D77945" w:rsidP="00325FC7">
      <w:pPr>
        <w:pStyle w:val="ConsPlusNormal"/>
        <w:widowControl/>
        <w:ind w:left="405" w:firstLine="0"/>
        <w:jc w:val="both"/>
      </w:pPr>
      <w: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D77945" w:rsidRDefault="00D77945" w:rsidP="00325FC7">
      <w:pPr>
        <w:pStyle w:val="ConsPlusNormal"/>
        <w:widowControl/>
        <w:ind w:left="405" w:firstLine="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D77945" w:rsidRDefault="00D77945" w:rsidP="00325FC7">
      <w:pPr>
        <w:pStyle w:val="ConsPlusNormal"/>
        <w:widowControl/>
        <w:ind w:left="405" w:firstLine="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D77945" w:rsidRDefault="00D77945" w:rsidP="00325FC7">
      <w:pPr>
        <w:pStyle w:val="ConsPlusNormal"/>
        <w:widowControl/>
        <w:ind w:left="405" w:firstLine="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D77945" w:rsidRDefault="00D77945" w:rsidP="003F4B4C">
      <w:pPr>
        <w:pStyle w:val="ConsPlusNormal"/>
        <w:widowControl/>
        <w:ind w:left="405" w:firstLine="0"/>
        <w:jc w:val="both"/>
      </w:pPr>
    </w:p>
    <w:p w:rsidR="00D77945" w:rsidRPr="009578D3" w:rsidRDefault="00D77945" w:rsidP="009578D3">
      <w:pPr>
        <w:pStyle w:val="ListParagraph"/>
        <w:spacing w:before="100" w:beforeAutospacing="1" w:after="100" w:afterAutospacing="1" w:line="240" w:lineRule="auto"/>
        <w:ind w:left="405"/>
        <w:outlineLvl w:val="0"/>
        <w:rPr>
          <w:u w:val="single"/>
        </w:rPr>
      </w:pPr>
      <w:r w:rsidRPr="009578D3">
        <w:rPr>
          <w:rFonts w:ascii="Arial" w:hAnsi="Arial" w:cs="Arial"/>
          <w:b/>
          <w:bCs/>
          <w:kern w:val="36"/>
          <w:sz w:val="20"/>
          <w:szCs w:val="20"/>
          <w:u w:val="single"/>
        </w:rPr>
        <w:t>Рекомендации о порядке приемки продукции по количеству.</w:t>
      </w:r>
    </w:p>
    <w:p w:rsidR="00D77945" w:rsidRDefault="00D77945" w:rsidP="009578D3">
      <w:pPr>
        <w:spacing w:before="100" w:beforeAutospacing="1" w:after="100" w:afterAutospacing="1" w:line="240" w:lineRule="auto"/>
        <w:outlineLvl w:val="1"/>
        <w:rPr>
          <w:rFonts w:ascii="Arial" w:hAnsi="Arial" w:cs="Arial"/>
          <w:bCs/>
          <w:kern w:val="36"/>
          <w:sz w:val="20"/>
          <w:szCs w:val="20"/>
        </w:rPr>
      </w:pPr>
      <w:r w:rsidRPr="009578D3">
        <w:rPr>
          <w:rFonts w:ascii="Arial" w:hAnsi="Arial" w:cs="Arial"/>
          <w:bCs/>
          <w:kern w:val="36"/>
          <w:sz w:val="20"/>
          <w:szCs w:val="20"/>
        </w:rPr>
        <w:t>«При приемке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w:t>
      </w:r>
    </w:p>
    <w:p w:rsidR="00D77945" w:rsidRPr="009578D3" w:rsidRDefault="00D77945" w:rsidP="009578D3">
      <w:pPr>
        <w:pStyle w:val="ListParagraph"/>
        <w:numPr>
          <w:ilvl w:val="0"/>
          <w:numId w:val="5"/>
        </w:numPr>
        <w:spacing w:before="100" w:beforeAutospacing="1" w:after="100" w:afterAutospacing="1" w:line="240" w:lineRule="auto"/>
        <w:outlineLvl w:val="1"/>
        <w:rPr>
          <w:rFonts w:ascii="Arial" w:hAnsi="Arial" w:cs="Arial"/>
          <w:bCs/>
          <w:i/>
          <w:kern w:val="36"/>
          <w:sz w:val="20"/>
          <w:szCs w:val="20"/>
        </w:rPr>
      </w:pPr>
      <w:r w:rsidRPr="009578D3">
        <w:rPr>
          <w:rFonts w:ascii="Arial" w:hAnsi="Arial" w:cs="Arial"/>
          <w:bCs/>
          <w:i/>
          <w:kern w:val="36"/>
          <w:sz w:val="20"/>
          <w:szCs w:val="20"/>
        </w:rPr>
        <w:t>проверить в надлежащих случаях наличие на транспортных средствах (вагоне, цистерне, барже, трюме судна, автофургоне и т.п.) или на контейнерах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а также исправность тары;</w:t>
      </w:r>
    </w:p>
    <w:p w:rsidR="00D77945" w:rsidRPr="009578D3" w:rsidRDefault="00D77945" w:rsidP="002D4FB2">
      <w:pPr>
        <w:numPr>
          <w:ilvl w:val="0"/>
          <w:numId w:val="3"/>
        </w:numPr>
        <w:spacing w:before="100" w:beforeAutospacing="1" w:after="100" w:afterAutospacing="1" w:line="240" w:lineRule="auto"/>
        <w:outlineLvl w:val="0"/>
        <w:rPr>
          <w:rFonts w:ascii="Arial" w:hAnsi="Arial" w:cs="Arial"/>
          <w:bCs/>
          <w:i/>
          <w:kern w:val="36"/>
          <w:sz w:val="20"/>
          <w:szCs w:val="20"/>
        </w:rPr>
      </w:pPr>
      <w:r w:rsidRPr="009578D3">
        <w:rPr>
          <w:rFonts w:ascii="Arial" w:hAnsi="Arial" w:cs="Arial"/>
          <w:bCs/>
          <w:i/>
          <w:kern w:val="36"/>
          <w:sz w:val="20"/>
          <w:szCs w:val="20"/>
        </w:rPr>
        <w:t>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w:t>
      </w:r>
    </w:p>
    <w:p w:rsidR="00D77945" w:rsidRPr="009578D3" w:rsidRDefault="00D77945" w:rsidP="002D4FB2">
      <w:pPr>
        <w:spacing w:before="100" w:beforeAutospacing="1" w:after="100" w:afterAutospacing="1" w:line="240" w:lineRule="auto"/>
        <w:outlineLvl w:val="1"/>
        <w:rPr>
          <w:rFonts w:ascii="Arial" w:hAnsi="Arial" w:cs="Arial"/>
          <w:bCs/>
          <w:kern w:val="36"/>
          <w:sz w:val="20"/>
          <w:szCs w:val="20"/>
        </w:rPr>
      </w:pPr>
      <w:r w:rsidRPr="009578D3">
        <w:rPr>
          <w:rFonts w:ascii="Arial" w:hAnsi="Arial" w:cs="Arial"/>
          <w:bCs/>
          <w:kern w:val="36"/>
          <w:sz w:val="20"/>
          <w:szCs w:val="20"/>
        </w:rPr>
        <w:t>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w:t>
      </w:r>
    </w:p>
    <w:p w:rsidR="00D77945" w:rsidRPr="009578D3" w:rsidRDefault="00D77945" w:rsidP="002D4FB2">
      <w:pPr>
        <w:spacing w:before="100" w:beforeAutospacing="1" w:after="100" w:afterAutospacing="1" w:line="240" w:lineRule="auto"/>
        <w:outlineLvl w:val="1"/>
        <w:rPr>
          <w:rFonts w:ascii="Arial" w:hAnsi="Arial" w:cs="Arial"/>
          <w:bCs/>
          <w:kern w:val="36"/>
          <w:sz w:val="20"/>
          <w:szCs w:val="20"/>
        </w:rPr>
      </w:pPr>
      <w:r w:rsidRPr="009578D3">
        <w:rPr>
          <w:rFonts w:ascii="Arial" w:hAnsi="Arial" w:cs="Arial"/>
          <w:bCs/>
          <w:kern w:val="36"/>
          <w:sz w:val="20"/>
          <w:szCs w:val="20"/>
        </w:rPr>
        <w:t xml:space="preserve">   Во всех случаях, когда при приемке груза от органов транспорта устанавливаются повреждение или порча груза, несоответствие наименования и веса груза или количества мест данных, указанных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D77945" w:rsidRDefault="00D77945" w:rsidP="009578D3">
      <w:pPr>
        <w:pBdr>
          <w:bottom w:val="single" w:sz="12" w:space="31" w:color="auto"/>
        </w:pBdr>
        <w:spacing w:before="100" w:beforeAutospacing="1" w:after="100" w:afterAutospacing="1" w:line="240" w:lineRule="auto"/>
        <w:outlineLvl w:val="1"/>
        <w:rPr>
          <w:rFonts w:ascii="Arial" w:hAnsi="Arial" w:cs="Arial"/>
          <w:bCs/>
          <w:kern w:val="36"/>
          <w:sz w:val="20"/>
          <w:szCs w:val="20"/>
        </w:rPr>
      </w:pPr>
      <w:r w:rsidRPr="009578D3">
        <w:rPr>
          <w:rFonts w:ascii="Arial" w:hAnsi="Arial" w:cs="Arial"/>
          <w:bCs/>
          <w:kern w:val="36"/>
          <w:sz w:val="20"/>
          <w:szCs w:val="20"/>
        </w:rPr>
        <w:t>При неправильном отказе органа транспорта от составления коммерческого акта получатель обязан в соответствии с действующими на транспорте правилами обжаловать этот отказ и произвести приемку продукции в порядке, предусмотренном настоящей Инструкцией.»</w:t>
      </w:r>
    </w:p>
    <w:p w:rsidR="00D77945" w:rsidRDefault="00D77945" w:rsidP="009578D3">
      <w:pPr>
        <w:pStyle w:val="ListParagraph"/>
        <w:spacing w:before="100" w:beforeAutospacing="1" w:after="100" w:afterAutospacing="1" w:line="240" w:lineRule="auto"/>
        <w:ind w:left="405"/>
        <w:outlineLvl w:val="0"/>
        <w:rPr>
          <w:rFonts w:ascii="Arial" w:hAnsi="Arial" w:cs="Arial"/>
          <w:b/>
          <w:sz w:val="20"/>
          <w:szCs w:val="20"/>
          <w:u w:val="single"/>
        </w:rPr>
      </w:pPr>
      <w:r w:rsidRPr="009578D3">
        <w:rPr>
          <w:rFonts w:ascii="Arial" w:hAnsi="Arial" w:cs="Arial"/>
          <w:b/>
          <w:sz w:val="20"/>
          <w:szCs w:val="20"/>
          <w:u w:val="single"/>
        </w:rPr>
        <w:t>Рекомендации по приему груза при доставке до получателя (до двери)</w:t>
      </w:r>
    </w:p>
    <w:p w:rsidR="00D77945" w:rsidRPr="009578D3" w:rsidRDefault="00D77945" w:rsidP="009578D3">
      <w:pPr>
        <w:pStyle w:val="ListParagraph"/>
        <w:spacing w:before="100" w:beforeAutospacing="1" w:after="100" w:afterAutospacing="1" w:line="240" w:lineRule="auto"/>
        <w:ind w:left="405"/>
        <w:outlineLvl w:val="0"/>
        <w:rPr>
          <w:rFonts w:ascii="Arial" w:hAnsi="Arial" w:cs="Arial"/>
          <w:b/>
          <w:sz w:val="20"/>
          <w:szCs w:val="20"/>
          <w:u w:val="single"/>
        </w:rPr>
      </w:pPr>
    </w:p>
    <w:p w:rsidR="00D77945" w:rsidRPr="009578D3" w:rsidRDefault="00D77945" w:rsidP="009578D3">
      <w:pPr>
        <w:pStyle w:val="ListParagraph"/>
        <w:numPr>
          <w:ilvl w:val="0"/>
          <w:numId w:val="4"/>
        </w:numPr>
        <w:spacing w:before="100" w:beforeAutospacing="1" w:after="100" w:afterAutospacing="1" w:line="240" w:lineRule="auto"/>
        <w:outlineLvl w:val="0"/>
        <w:rPr>
          <w:rFonts w:ascii="Arial" w:hAnsi="Arial" w:cs="Arial"/>
          <w:sz w:val="20"/>
          <w:szCs w:val="20"/>
        </w:rPr>
      </w:pPr>
      <w:r w:rsidRPr="009578D3">
        <w:rPr>
          <w:rFonts w:ascii="Arial" w:hAnsi="Arial" w:cs="Arial"/>
          <w:sz w:val="20"/>
          <w:szCs w:val="20"/>
        </w:rPr>
        <w:t>Внимательно сверить данные в документах.</w:t>
      </w:r>
    </w:p>
    <w:p w:rsidR="00D77945" w:rsidRPr="009578D3" w:rsidRDefault="00D77945" w:rsidP="009578D3">
      <w:pPr>
        <w:pStyle w:val="ListParagraph"/>
        <w:numPr>
          <w:ilvl w:val="0"/>
          <w:numId w:val="4"/>
        </w:numPr>
        <w:spacing w:before="100" w:beforeAutospacing="1" w:after="100" w:afterAutospacing="1" w:line="240" w:lineRule="auto"/>
        <w:outlineLvl w:val="0"/>
        <w:rPr>
          <w:rFonts w:ascii="Arial" w:hAnsi="Arial" w:cs="Arial"/>
          <w:sz w:val="20"/>
          <w:szCs w:val="20"/>
        </w:rPr>
      </w:pPr>
      <w:r w:rsidRPr="009578D3">
        <w:rPr>
          <w:rFonts w:ascii="Arial" w:hAnsi="Arial" w:cs="Arial"/>
          <w:sz w:val="20"/>
          <w:szCs w:val="20"/>
        </w:rPr>
        <w:t>Удостоверится, что все места груза принадлежат именно Вам и проверить целостность упаковки.</w:t>
      </w:r>
    </w:p>
    <w:p w:rsidR="00D77945" w:rsidRPr="009578D3" w:rsidRDefault="00D77945" w:rsidP="009578D3">
      <w:pPr>
        <w:pStyle w:val="ListParagraph"/>
        <w:numPr>
          <w:ilvl w:val="0"/>
          <w:numId w:val="4"/>
        </w:numPr>
        <w:spacing w:before="100" w:beforeAutospacing="1" w:after="100" w:afterAutospacing="1" w:line="240" w:lineRule="auto"/>
        <w:outlineLvl w:val="0"/>
        <w:rPr>
          <w:rFonts w:ascii="Arial" w:hAnsi="Arial" w:cs="Arial"/>
          <w:sz w:val="20"/>
          <w:szCs w:val="20"/>
        </w:rPr>
      </w:pPr>
      <w:r w:rsidRPr="009578D3">
        <w:rPr>
          <w:rFonts w:ascii="Arial" w:hAnsi="Arial" w:cs="Arial"/>
          <w:sz w:val="20"/>
          <w:szCs w:val="20"/>
        </w:rPr>
        <w:t>При наличии поврежденной упаковки, настоять на составлении коммерческого акта на фирменном бланке транспортной компании, который всегда в наличии у водителя ТК (представителя ТК).</w:t>
      </w:r>
    </w:p>
    <w:p w:rsidR="00D77945" w:rsidRPr="009578D3" w:rsidRDefault="00D77945" w:rsidP="009578D3">
      <w:pPr>
        <w:pStyle w:val="ListParagraph"/>
        <w:spacing w:before="100" w:beforeAutospacing="1" w:after="100" w:afterAutospacing="1" w:line="240" w:lineRule="auto"/>
        <w:ind w:left="765"/>
        <w:outlineLvl w:val="0"/>
        <w:rPr>
          <w:rFonts w:ascii="Arial" w:hAnsi="Arial" w:cs="Arial"/>
          <w:sz w:val="20"/>
          <w:szCs w:val="20"/>
        </w:rPr>
      </w:pPr>
    </w:p>
    <w:p w:rsidR="00D77945" w:rsidRPr="009578D3" w:rsidRDefault="00D77945" w:rsidP="009578D3">
      <w:pPr>
        <w:pStyle w:val="ListParagraph"/>
        <w:spacing w:before="100" w:beforeAutospacing="1" w:after="100" w:afterAutospacing="1" w:line="240" w:lineRule="auto"/>
        <w:ind w:left="765"/>
        <w:outlineLvl w:val="0"/>
        <w:rPr>
          <w:rFonts w:ascii="Arial" w:hAnsi="Arial" w:cs="Arial"/>
          <w:sz w:val="20"/>
          <w:szCs w:val="20"/>
        </w:rPr>
      </w:pPr>
      <w:r w:rsidRPr="009578D3">
        <w:rPr>
          <w:rFonts w:ascii="Arial" w:hAnsi="Arial" w:cs="Arial"/>
          <w:sz w:val="20"/>
          <w:szCs w:val="20"/>
        </w:rPr>
        <w:t>Если в приемной накладной нет каких-либо отметок о состоянии упаковки, то клиент вправе потребовать внутренний досмотр груза.</w:t>
      </w:r>
    </w:p>
    <w:sectPr w:rsidR="00D77945" w:rsidRPr="009578D3" w:rsidSect="002D4FB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45" w:rsidRDefault="00D77945" w:rsidP="000F5A60">
      <w:pPr>
        <w:spacing w:after="0" w:line="240" w:lineRule="auto"/>
      </w:pPr>
      <w:r>
        <w:separator/>
      </w:r>
    </w:p>
  </w:endnote>
  <w:endnote w:type="continuationSeparator" w:id="0">
    <w:p w:rsidR="00D77945" w:rsidRDefault="00D77945" w:rsidP="000F5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45" w:rsidRDefault="00D77945" w:rsidP="000F5A60">
      <w:pPr>
        <w:spacing w:after="0" w:line="240" w:lineRule="auto"/>
      </w:pPr>
      <w:r>
        <w:separator/>
      </w:r>
    </w:p>
  </w:footnote>
  <w:footnote w:type="continuationSeparator" w:id="0">
    <w:p w:rsidR="00D77945" w:rsidRDefault="00D77945" w:rsidP="000F5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577"/>
    <w:multiLevelType w:val="hybridMultilevel"/>
    <w:tmpl w:val="EF82F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112FC"/>
    <w:multiLevelType w:val="hybridMultilevel"/>
    <w:tmpl w:val="9248650C"/>
    <w:lvl w:ilvl="0" w:tplc="0140430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68517D1"/>
    <w:multiLevelType w:val="hybridMultilevel"/>
    <w:tmpl w:val="CBAE57C8"/>
    <w:lvl w:ilvl="0" w:tplc="D2A45AD4">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
    <w:nsid w:val="48DC5CE1"/>
    <w:multiLevelType w:val="hybridMultilevel"/>
    <w:tmpl w:val="B7362474"/>
    <w:lvl w:ilvl="0" w:tplc="EC949520">
      <w:start w:val="1"/>
      <w:numFmt w:val="decimal"/>
      <w:lvlText w:val="%1."/>
      <w:lvlJc w:val="left"/>
      <w:pPr>
        <w:ind w:left="405" w:hanging="360"/>
      </w:pPr>
      <w:rPr>
        <w:rFonts w:cs="Times New Roman" w:hint="default"/>
        <w:b/>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4">
    <w:nsid w:val="56CE5585"/>
    <w:multiLevelType w:val="multilevel"/>
    <w:tmpl w:val="3EA0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2F9"/>
    <w:rsid w:val="000A2F0B"/>
    <w:rsid w:val="000F5A60"/>
    <w:rsid w:val="00176A1B"/>
    <w:rsid w:val="00226D95"/>
    <w:rsid w:val="00235FB2"/>
    <w:rsid w:val="002D4FB2"/>
    <w:rsid w:val="00325FC7"/>
    <w:rsid w:val="00333B04"/>
    <w:rsid w:val="00360AA2"/>
    <w:rsid w:val="003E02F9"/>
    <w:rsid w:val="003F4B4C"/>
    <w:rsid w:val="00447FCF"/>
    <w:rsid w:val="00613A94"/>
    <w:rsid w:val="00752F67"/>
    <w:rsid w:val="007A0682"/>
    <w:rsid w:val="007D0E2F"/>
    <w:rsid w:val="007F5643"/>
    <w:rsid w:val="00864E2C"/>
    <w:rsid w:val="008A349E"/>
    <w:rsid w:val="00927369"/>
    <w:rsid w:val="009578D3"/>
    <w:rsid w:val="009A1A3F"/>
    <w:rsid w:val="00AA2824"/>
    <w:rsid w:val="00AA4DF0"/>
    <w:rsid w:val="00C20DAB"/>
    <w:rsid w:val="00C2719D"/>
    <w:rsid w:val="00C3391B"/>
    <w:rsid w:val="00CF0EBA"/>
    <w:rsid w:val="00D77945"/>
    <w:rsid w:val="00E01D58"/>
    <w:rsid w:val="00F573CF"/>
    <w:rsid w:val="00FB4C3E"/>
    <w:rsid w:val="00FC2B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2C"/>
    <w:pPr>
      <w:spacing w:after="200" w:line="276" w:lineRule="auto"/>
    </w:pPr>
  </w:style>
  <w:style w:type="paragraph" w:styleId="Heading1">
    <w:name w:val="heading 1"/>
    <w:basedOn w:val="Normal"/>
    <w:link w:val="Heading1Char"/>
    <w:uiPriority w:val="99"/>
    <w:qFormat/>
    <w:rsid w:val="00AA282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2824"/>
    <w:rPr>
      <w:rFonts w:ascii="Times New Roman" w:hAnsi="Times New Roman" w:cs="Times New Roman"/>
      <w:b/>
      <w:bCs/>
      <w:kern w:val="36"/>
      <w:sz w:val="48"/>
      <w:szCs w:val="48"/>
    </w:rPr>
  </w:style>
  <w:style w:type="paragraph" w:styleId="ListParagraph">
    <w:name w:val="List Paragraph"/>
    <w:basedOn w:val="Normal"/>
    <w:uiPriority w:val="99"/>
    <w:qFormat/>
    <w:rsid w:val="003E02F9"/>
    <w:pPr>
      <w:ind w:left="720"/>
      <w:contextualSpacing/>
    </w:pPr>
  </w:style>
  <w:style w:type="paragraph" w:styleId="BalloonText">
    <w:name w:val="Balloon Text"/>
    <w:basedOn w:val="Normal"/>
    <w:link w:val="BalloonTextChar"/>
    <w:uiPriority w:val="99"/>
    <w:semiHidden/>
    <w:rsid w:val="009A1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A3F"/>
    <w:rPr>
      <w:rFonts w:ascii="Tahoma" w:hAnsi="Tahoma" w:cs="Tahoma"/>
      <w:sz w:val="16"/>
      <w:szCs w:val="16"/>
    </w:rPr>
  </w:style>
  <w:style w:type="paragraph" w:styleId="Header">
    <w:name w:val="header"/>
    <w:basedOn w:val="Normal"/>
    <w:link w:val="HeaderChar"/>
    <w:uiPriority w:val="99"/>
    <w:rsid w:val="000F5A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5A60"/>
    <w:rPr>
      <w:rFonts w:cs="Times New Roman"/>
    </w:rPr>
  </w:style>
  <w:style w:type="paragraph" w:styleId="Footer">
    <w:name w:val="footer"/>
    <w:basedOn w:val="Normal"/>
    <w:link w:val="FooterChar"/>
    <w:uiPriority w:val="99"/>
    <w:rsid w:val="000F5A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F5A60"/>
    <w:rPr>
      <w:rFonts w:cs="Times New Roman"/>
    </w:rPr>
  </w:style>
  <w:style w:type="paragraph" w:customStyle="1" w:styleId="ConsPlusTitle">
    <w:name w:val="ConsPlusTitle"/>
    <w:uiPriority w:val="99"/>
    <w:rsid w:val="00AA2824"/>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3F4B4C"/>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83875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1285</Words>
  <Characters>7326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упаковки оборудования на складе ЗАО «РАМЭК-ВС» и степени защиты от вскрытия</dc:title>
  <dc:subject/>
  <dc:creator>Подгорнов Юрий Анатольевич</dc:creator>
  <cp:keywords/>
  <dc:description/>
  <cp:lastModifiedBy>Makarov.AS</cp:lastModifiedBy>
  <cp:revision>2</cp:revision>
  <dcterms:created xsi:type="dcterms:W3CDTF">2012-06-08T10:12:00Z</dcterms:created>
  <dcterms:modified xsi:type="dcterms:W3CDTF">2012-06-08T10:12:00Z</dcterms:modified>
</cp:coreProperties>
</file>